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337</w:t>
      </w:r>
    </w:p>
    <w:p>
      <w:r>
        <w:t>Bundesgericht (BGE), 2014-05-22, DE</w:t>
      </w:r>
    </w:p>
    <w:p>
      <w:r>
        <w:rPr>
          <w:b/>
        </w:rPr>
        <w:t xml:space="preserve">Quelle: </w:t>
      </w:r>
      <w:r>
        <w:t>https://mcp.opencaselaw.ch/entscheid/bge_140 III 337</w:t>
      </w:r>
    </w:p>
    <w:p>
      <w:r>
        <w:t>FR: ATF 140 III 337</w:t>
      </w:r>
    </w:p>
    <w:p>
      <w:r>
        <w:t>IT: DTF 140 III 337</w:t>
      </w:r>
    </w:p>
    <w:p>
      <w:pPr>
        <w:pStyle w:val="Heading2"/>
      </w:pPr>
      <w:r>
        <w:t>Regeste</w:t>
      </w:r>
    </w:p>
    <w:p>
      <w:r>
        <w:t>Regeste Eheschutz; Unterhalt des Ehegatten; Steuern und Leasingraten (Art. 163 ZGB; Art. 92 Abs. 1 und Art. 93 SchKG; Art. 9 BV). Die Berücksichtigung der laufenden und aufgelaufenen Steuern im betreibungsrechtlichen Existenzminimum des Unterhaltsschuldners ist willkürlich (E. 4.2-4.4). Verfassungskonform ist hingegen die Aufnahme der vollen Raten für ein geleastes Fahrzeug mit Kompetenzcharakter (E. 5).</w:t>
      </w:r>
    </w:p>
    <w:p>
      <w:pPr>
        <w:pStyle w:val="Heading2"/>
      </w:pPr>
      <w:r>
        <w:t>Erwägungen</w:t>
      </w:r>
    </w:p>
    <w:p>
      <w:r>
        <w:rPr>
          <w:b/>
        </w:rPr>
        <w:t>E. 4.2.1</w:t>
      </w:r>
    </w:p>
    <w:p>
      <w:r>
        <w:t>Haben die Ehegatten den gemeinsamen Haushalt aufgehoben, sind die Folgen des Getrenntlebens zu regeln. Selbst wenn mit einer Wiederaufnahme des gemeinsamen Haushaltes nicht mehr ernsthaft gerechnet werden kann, bleibt Art. 163 ZGB die Rechtsgrundlage der gegenseitigen Unterhaltspflicht der Ehegatten im Rahmen gerichtlicher Massnahmen zum Schutz der ehelichen Gemeinschaft. Im Stadium des Eheschutzverfahrens geht es ausschliesslich um Verbrauchsunterhalt. Ausgangspunkt für die Ermittlung des Beitrages an den Unterhalt des fordernden Ehegatten ist der während des gemeinsamen Haushaltes zuletzt gelebte Standard, auf dessen Fortführung bei genügenden Mitteln beide Teile Anspruch haben ( BGE 119 II 314 E. 4b/aa S. 318). Der Kinderunterhaltsbeitrag soll den Bedürfnissen des Kindes sowie der Lebensstellung und Leistungsfähigkeit der Eltern entsprechen ( BGE 137 III 59 E. 4.2.1). Die derart ermittelten Beiträge stellen gleichzeitig die Obergrenze des Unterhaltsanspruchs dar. Reichen die vorhandenen Mittel nicht aus, um diesen Standard aufrecht zu erhalten, haben Kinder und Ehegatten Anspruch auf den gleichen Lebensstandard ( BGE 137 III 102 E. 4.2). BGE 140 III 337 S. 339</w:t>
      </w:r>
    </w:p>
    <w:p>
      <w:r>
        <w:rPr>
          <w:b/>
        </w:rPr>
        <w:t>E. 4.2.2</w:t>
      </w:r>
    </w:p>
    <w:p>
      <w:r>
        <w:t>Das Gesetz schreibt keine bestimmten Berechnungsmethoden vor. Dem Grundsatze nach stehen die einstufig konkrete oder die zweistufige Methode zur Verfügung. Die zweistufige Methode eignet sich für alle finanziellen Verhältnisse, in denen die Ehegatten - gegebenenfalls trotz guter finanzieller Verhältnisse - nichts angespart haben oder aber die bisherige Sparquote durch die scheidungsbedingten Mehrkosten aufgebraucht wird ( BGE 137 III 102 E. 4.2.1.1 S. 106 f.; BGE 134 III 577 E. 3 S. 578; Urteil 5A_908/2011 vom 8. März 2012 E. 4.2). Zweistufig bedeutet, dass zuerst der konkrete Bedarf (aller Personen) dem Gesamteinkommen gegenübergestellt und alsdann der rechnerische Überschuss auf die unterhaltsberechtigten Kinder und die Ehegatten verteilt wird ( BGE 137 III 59 E. 4.2.3).</w:t>
      </w:r>
    </w:p>
    <w:p>
      <w:r>
        <w:rPr>
          <w:b/>
        </w:rPr>
        <w:t>E. 4.2.3</w:t>
      </w:r>
    </w:p>
    <w:p>
      <w:r>
        <w:t>Basis für die Bedarfsberechnung sind die Positionen, wie sie auch für die betreibungsrechtliche Existenzminimumsberechnung verwendet werden. Indes sind die von den Betreibungsämtern für die Ermittlung des pfändbaren Einkommens verwendeten Zahlen nicht direkt massgebend. Vielmehr müssen die eingesetzten Beträge im Zusammenhang mit den wirtschaftlichen Verhältnissen der Parteien stehen. In guten finanziellen Verhältnissen ist es beispielsweise ohne Weiteres zulässig, unter der Position Krankenversicherungsprämien diejenigen der überobligatorischen Versicherung zu berücksichtigen. Ebenso ist bei günstigen Verhältnissen zulässig bzw. vorgeschrieben, effektiv bezahlte Steuerschulden, einschliesslich rechtskräftig veranlagter Steuern aus vorausgegangenen Steuerperioden in die Bedarfsberechnung einzurechnen (Urteil 5A_592/2011 vom 31. Januar 2012 E. 4.2; 5A_302/2011 vom 30. September 2011 E. 6.3.1 mit Hinweisen, in: FamPra.ch 2012 S. 160). Indes, je knapper die finanziellen Verhältnisse, desto enger müssen sich die Gerichte für die Ermittlung des Bedarfs an die in Anwendung des Art. 93 SchKG entwickelten Grundsätze über die Pfändbarkeit des schuldnerischen Einkommens anlehnen.</w:t>
      </w:r>
    </w:p>
    <w:p>
      <w:r>
        <w:rPr>
          <w:b/>
        </w:rPr>
        <w:t>E. 4.3</w:t>
      </w:r>
    </w:p>
    <w:p>
      <w:r>
        <w:t>Nach der mit den BGE 121 I 97 , BGE 121 III 301 und BGE 123 III 1 begründeten und in den BGE 126 III 353 E. 1a/aa S. 356, BGE 127 III 68 E. 2c S. 70, BGE 133 III 57 E. 3 und BGE 135 III 66 E. 2 S. 67, BGE 137 III 59 E. 4.2.1 S. 62 (und in zahlreichen weiteren Urteilen) bestätigten Rechtsprechung des Bundesgerichts ist dem Unterhaltsverpflichteten für alle familienrechtlichen Unterhaltskategorien und in Abweichung zum Gleichbehandlungsgrundsatz stets das betreibungsrechtliche Existenzminimum zu belassen, mit der Folge, dass die Unterhaltsberechtigten das ganze Manko zu tragen haben. Daraus folgt aber BGE 140 III 337 S. 340 auch, dass dem Unterhaltsschuldner nicht mehr zu belassen ist als das betreibungsrechtliche Existenzminimum, solange die betreibungsrechtlichen Existenzminima der unterhaltsberechtigten Personen nicht gedeckt sind. Wenn die Mittel sehr eingeschränkt sind, ist mithin zunächst das betreibungsrechtliche Existenzminimum des Unterhaltsschuldners, in zweiter Linie dasjenige der Kinder und zuletzt dasjenige des unterhaltsberechtigten Ehegatten zu ermitteln und zu decken. Erst wenn das betreibungsrechtliche Existenzminimum aller Betroffenen gedeckt ist, kann es darum gehen, einen allfälligen Überschuss in eine erweiterte Bedarfsrechnung aufzunehmen oder auf die Betroffenen zu verteilen.</w:t>
      </w:r>
    </w:p>
    <w:p>
      <w:r>
        <w:rPr>
          <w:b/>
        </w:rPr>
        <w:t>E. 4.4.1</w:t>
      </w:r>
    </w:p>
    <w:p>
      <w:r>
        <w:t>Im vorliegenden Fall liegen nach der Feststellung der Vorinstanz knappe Verhältnisse vor, ergibt sich doch für die hier massgebende Periode (ab Juni 2013) eine Unterdeckung von Fr. 898.-. Daher kann der Beschwerdegegner lediglich den Schutz seines betreibungsrechtlichen Existenzminimums beanspruchen. Nach der amtlich publizierten Rechtsprechung sind die laufenden und verfallenen Steuern nicht als Zuschlag zum Grundbetrag in das Existenzminimum gemäss Art. 93 SchKG des Schuldners aufzunehmen ( BGE 126 III 89 E. 3b und c, BGE 126 III 353 E. 1a/aa S. 356; BGE 127 III 289 E. 2a/bb S. 292; BGE 134 III 37 E. 4.3 S. 41). Diese Rechtsprechung wird von einem bedeutenden Teil der Lehre als massgebend bezeichnet (so namentlich: GEORGES VONDER MÜHLL, in: Basler Kommentar, Bundesgesetz über Schuldbetreibung und Konkurs, Bd. I, 2. Aufl. 2010, N. 23 zu Art. 93 SchKG ; MICHEL OCHSNER, in: Commentaire romand, Poursuite et faillite, 2005, N. 150 zu Art. 93 SchKG ; PIERRE-ROBERT GILLIÉRON, Poursuite pour dettes, faillite et concordat, 5. Aufl. 2012, S. 254, Rz. 998). Ihr ist indes auch Kritik erwachsen: So bemängelt THOMAS M. KULL (in: JAEGER/WALDER/KULL, Das Bundesgesetz über Schuldbetreibung und Konkurs [SchKG], 5. Aufl. 2006, N. 26 f. zu Art. 93 SchKG ) den Ausschluss der Steuern vom Existenzminimum, weil es sich dabei um eine Verpflichtung handelt, auf die der Schuldner keinen Einfluss nehmen kann. MICHEL OCHSNER (a.a.O., N. 151 zu Art. 93 SchKG , und derselbe , Le minimum vital [art. 93 al. 1 LP], SJ 2012 II S. 119 ff., 145) wendet dagegen ein, die Nichtberücksichtigung der Steuern habe unweigerlich neue Betreibungen zur Folge, die dem Schuldner letztlich nur den Ausweg der Insolvenzerklärung offenliessen. Im gleichen Sinn äussert sich JOLANTA KREN KOSTKIEWICZ (in: SchKG, 2. Aufl. 2014, N. 52 zu Art. 93 SchKG ). Für weitere BGE 140 III 337 S. 341 kritische Äusserungen wird auf das Urteil 5P.119/2002 vom 1. Juli 2002 E. 2b sowie auf PICHONNAZ/RUMO-JUNGO (La protection du minimum vital du débirentier en droit de divorce: évolution récente, SJZ 100/2004 S. 81, 87 ff.) verwiesen.</w:t>
      </w:r>
    </w:p>
    <w:p>
      <w:r>
        <w:rPr>
          <w:b/>
        </w:rPr>
        <w:t>E. 4.4.2</w:t>
      </w:r>
    </w:p>
    <w:p>
      <w:r>
        <w:t>Die Richtlinien der Konferenz der Betreibungs- und Konkursbeamten der Schweiz vom 1. Juli 2009 für die Berechnung des betreibungsrechtlichen Existenzminimums (Notbedarf) nach Art. 93 SchKG vom 1. Juli 2009 (BlSchK 2009 S. 193 ff.) sowie die Praxis der meisten Kantone, soweit sie eigene Richtlinien erlassen haben, folgen der bundesgerichtlichen Rechtsprechung. Als Ausnahmen sind die Kantone Solothurn und St. Gallen zu erwähnen, die in ihren kantonalen Richtlinien eine Berücksichtigung der Steuern im Existenzminimum ausdrücklich vorsehen. Dies hat das Bundesgericht in einem den Kanton Solothurn betreffenden Fall unter Willkürgesichtspunkten als verfassungskonform bewertet (Urteil 5P.119/2002 vom 1. Juli 2002 E. 2). Die Praxis der Kantone St. Gallen und Solothurn ist indes im Urteil der Schuldbetreibungs- und Konkurskammer des Bundesgerichts 7B.221/2003 vom 17. November 2003 E. 3.1 als mit Art. 93 SchKG nicht vereinbar bezeichnet worden. In einem späteren Entscheid 5A_764/2007 vom 23. Januar 2008 E. 2.1 hat das Bundesgericht zwar die Solothurner Richtlinien gelten lassen, ohne allerdings auf die anderslautende publizierte Rechtsprechung Bezug zu nehmen und diese zu relativieren oder zu hinterfragen. In einem knapp zwei Jahre später ergangenen Entscheid hat es die Praxis des Kantons Solothurn erneut ausdrücklich als bundesrechtswidrig bezeichnet (Urteil 5A_757/2009 vom 15. Dezember 2009 E. 4.1). Schliesslich wurde die bisherige publizierte Rechtsprechung des Bundesgerichts in weiteren Entscheiden bestätigt ( BGE 135 I 221 E. 5.2.1 S. 224; Urteile 5A_27/2010 vom 15. April 2010 E. 3.3.1; 5A_187/ 2011 vom 13. Mai 2011 E. 6; 5A_222/2013 vom 12. Juni 2013 E. 2.3 a.E.).</w:t>
      </w:r>
    </w:p>
    <w:p>
      <w:r>
        <w:rPr>
          <w:b/>
        </w:rPr>
        <w:t>E. 4.4.3</w:t>
      </w:r>
    </w:p>
    <w:p>
      <w:r>
        <w:t>Zusammenfassend liegt somit eine konstante bundesgerichtliche Rechtsprechung vor, wonach laufende oder aufgelaufene Steuern im betreibungsrechtlichen Existenzminimum nicht zu berücksichtigen sind. (...)</w:t>
      </w:r>
    </w:p>
    <w:p>
      <w:r>
        <w:rPr>
          <w:b/>
        </w:rPr>
        <w:t>E. 5.1</w:t>
      </w:r>
    </w:p>
    <w:p>
      <w:r>
        <w:t>Die Beschwerdeführerin beanstandet im Weiteren die Berücksichtigung des ganzen Leasingbetrages von Fr. 306.- im BGE 140 III 337 S. 342 Existenzminimum des Beschwerdegegners als willkürlich, da ein gewisser Anteil dieses Betrages als Amortisation zu werten sei, die bei den Fahrzeugkosten nach der herrschenden Rechtsprechung nicht berücksichtigt werden dürfe. Im vorliegenden Fall betrage dieser Amortisationsanteil Fr. 76.50 und sei daher nur ein Leasingbetrag von Fr. 229.50 (statt Fr. 306.-) aufzunehmen.</w:t>
      </w:r>
    </w:p>
    <w:p>
      <w:r>
        <w:rPr>
          <w:b/>
        </w:rPr>
        <w:t>E. 5.2</w:t>
      </w:r>
    </w:p>
    <w:p>
      <w:r>
        <w:t>Gemäss den Richtlinien der Konferenz der Betreibungs- und Konkursbeamten der Schweiz vom 1. Juli 2009 (BlSchK 2009 S. 193 ff.) sind bei einem Automobil mit Kompetenzqualität die festen und veränderlichen Kosten ohne Amortisation zu berechnen. Im vorliegenden Fall ist der Beschwerdegegner indes nicht Eigentümer eines Fahrzeuges mit Kompetenzcharakter, hat er doch sein Fahrzeug geleast. Nach der Rechtsprechung des Bundesgerichts, die sich auf die Richtlinien der Konferenz stützt, sind Leasingraten für ein Auto mit Kompetenzcharakter sowohl beim betreibungsrechtlichen Existenzminimum als auch in der prozessualen Bedarfsberechnung zu berücksichtigen (Urteil 5A_27/2010 vom 15. April 2010 E. 3.2.2 mit zahlreichen Hinweisen). Entgegen der Auffassung der Beschwerdeführerin geht es dabei nicht um eine teilweise Aufnahme von Amortisationskosten. Vielmehr handelt es sich bei den Leasingraten für ein Kompetenzgut wirtschaftlich gesehen um zeitlich gestaffelte Anschaffungskosten von nicht pfändbarem Vermögen im Sinne von Art. 92 Abs. 1 oder Art. 93 Abs. 1 SchKG . Dies ist der Grund, weshalb die Raten (grundsätzlich in vollem Umfang) zu berücksichtigen sind (vgl. Urteil 5A_27/2010 vom 15. April 2010 E. 3.2.2; siehe auch die dortigen Ausführungen betreffend "zu teure" Leasingfahrzeuge). Da dem geleasten Fahrzeug im konkreten Fall unbestrittenermassen Kompetenzcharakter zukommt und auch nicht behauptet und belegt worden ist, dass ein zu teures Fahrzeug geleast worden ist, hat das Obergericht die Kosten von Fr. 306.- zu Recht in vollem Umfang berücksichtigt. Von willkürlicher Rechtsanwendung kann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